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EB" w:rsidRPr="007411D5" w:rsidRDefault="009A18EB">
      <w:pPr>
        <w:rPr>
          <w:rFonts w:ascii="AbcPrint" w:hAnsi="AbcPrint"/>
        </w:rPr>
      </w:pPr>
      <w:r w:rsidRPr="007411D5">
        <w:rPr>
          <w:rFonts w:ascii="AbcPrint" w:hAnsi="AbcPrint"/>
        </w:rPr>
        <w:t>Fraction</w:t>
      </w:r>
    </w:p>
    <w:p w:rsidR="009A18EB" w:rsidRPr="007411D5" w:rsidRDefault="009A18EB" w:rsidP="009A18EB">
      <w:pPr>
        <w:pStyle w:val="ListParagraph"/>
        <w:numPr>
          <w:ilvl w:val="0"/>
          <w:numId w:val="2"/>
        </w:numPr>
        <w:rPr>
          <w:rFonts w:ascii="AbcPrint" w:hAnsi="AbcPrint"/>
        </w:rPr>
      </w:pPr>
      <w:r w:rsidRPr="007411D5">
        <w:rPr>
          <w:rFonts w:ascii="AbcPrint" w:hAnsi="AbcPrint"/>
        </w:rPr>
        <w:t>Part of a whole</w:t>
      </w:r>
    </w:p>
    <w:p w:rsidR="00831BB5" w:rsidRPr="00730CA3" w:rsidRDefault="009A18EB" w:rsidP="00831BB5">
      <w:pPr>
        <w:pStyle w:val="ListParagraph"/>
        <w:numPr>
          <w:ilvl w:val="0"/>
          <w:numId w:val="2"/>
        </w:numPr>
        <w:rPr>
          <w:rFonts w:ascii="AbcPrint" w:hAnsi="AbcPrint"/>
        </w:rPr>
      </w:pPr>
      <w:r w:rsidRPr="007411D5">
        <w:rPr>
          <w:rFonts w:ascii="AbcPrint" w:hAnsi="AbcPrint"/>
        </w:rPr>
        <w:t>Parts must all be same size</w:t>
      </w:r>
    </w:p>
    <w:tbl>
      <w:tblPr>
        <w:tblStyle w:val="TableGrid"/>
        <w:tblpPr w:leftFromText="180" w:rightFromText="180" w:vertAnchor="text" w:horzAnchor="page" w:tblpX="2143" w:tblpY="34"/>
        <w:tblW w:w="0" w:type="auto"/>
        <w:tblLook w:val="04A0" w:firstRow="1" w:lastRow="0" w:firstColumn="1" w:lastColumn="0" w:noHBand="0" w:noVBand="1"/>
      </w:tblPr>
      <w:tblGrid>
        <w:gridCol w:w="855"/>
        <w:gridCol w:w="855"/>
        <w:gridCol w:w="855"/>
        <w:gridCol w:w="855"/>
      </w:tblGrid>
      <w:tr w:rsidR="00831BB5" w:rsidRPr="007411D5" w:rsidTr="00831BB5">
        <w:trPr>
          <w:trHeight w:val="719"/>
        </w:trPr>
        <w:tc>
          <w:tcPr>
            <w:tcW w:w="855" w:type="dxa"/>
            <w:shd w:val="clear" w:color="auto" w:fill="4F81BD" w:themeFill="accent1"/>
          </w:tcPr>
          <w:p w:rsidR="00831BB5" w:rsidRPr="007411D5" w:rsidRDefault="00831BB5" w:rsidP="00831BB5">
            <w:pPr>
              <w:pStyle w:val="ListParagraph"/>
              <w:ind w:left="0"/>
              <w:rPr>
                <w:rFonts w:ascii="AbcPrint" w:hAnsi="AbcPrint"/>
              </w:rPr>
            </w:pPr>
          </w:p>
        </w:tc>
        <w:tc>
          <w:tcPr>
            <w:tcW w:w="855" w:type="dxa"/>
            <w:shd w:val="clear" w:color="auto" w:fill="4F81BD" w:themeFill="accent1"/>
          </w:tcPr>
          <w:p w:rsidR="00831BB5" w:rsidRPr="007411D5" w:rsidRDefault="00831BB5" w:rsidP="00831BB5">
            <w:pPr>
              <w:pStyle w:val="ListParagraph"/>
              <w:ind w:left="0"/>
              <w:rPr>
                <w:rFonts w:ascii="AbcPrint" w:hAnsi="AbcPrint"/>
              </w:rPr>
            </w:pPr>
          </w:p>
        </w:tc>
        <w:tc>
          <w:tcPr>
            <w:tcW w:w="855" w:type="dxa"/>
            <w:shd w:val="clear" w:color="auto" w:fill="4F81BD" w:themeFill="accent1"/>
          </w:tcPr>
          <w:p w:rsidR="00831BB5" w:rsidRPr="007411D5" w:rsidRDefault="00831BB5" w:rsidP="00831BB5">
            <w:pPr>
              <w:pStyle w:val="ListParagraph"/>
              <w:ind w:left="0"/>
              <w:rPr>
                <w:rFonts w:ascii="AbcPrint" w:hAnsi="AbcPrint"/>
              </w:rPr>
            </w:pPr>
          </w:p>
        </w:tc>
        <w:tc>
          <w:tcPr>
            <w:tcW w:w="855" w:type="dxa"/>
          </w:tcPr>
          <w:p w:rsidR="00831BB5" w:rsidRPr="007411D5" w:rsidRDefault="00831BB5" w:rsidP="00831BB5">
            <w:pPr>
              <w:pStyle w:val="ListParagraph"/>
              <w:ind w:left="0"/>
              <w:rPr>
                <w:rFonts w:ascii="AbcPrint" w:hAnsi="AbcPrint"/>
              </w:rPr>
            </w:pPr>
          </w:p>
        </w:tc>
      </w:tr>
    </w:tbl>
    <w:p w:rsidR="00831BB5" w:rsidRPr="007411D5" w:rsidRDefault="007411D5" w:rsidP="00831BB5">
      <w:pPr>
        <w:pStyle w:val="ListParagraph"/>
        <w:rPr>
          <w:rFonts w:ascii="AbcPrint" w:hAnsi="AbcPrint"/>
        </w:rPr>
      </w:pP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</w:rPr>
              <m:t>4</m:t>
            </m:r>
          </m:den>
        </m:f>
      </m:oMath>
      <w:r w:rsidR="00831BB5" w:rsidRPr="007411D5">
        <w:rPr>
          <w:rFonts w:ascii="AbcPrint" w:eastAsiaTheme="minorEastAsia" w:hAnsi="AbcPrint"/>
          <w:sz w:val="36"/>
        </w:rPr>
        <w:t xml:space="preserve"> </w:t>
      </w:r>
    </w:p>
    <w:p w:rsidR="00831BB5" w:rsidRPr="007411D5" w:rsidRDefault="00831BB5" w:rsidP="00831BB5">
      <w:pPr>
        <w:pStyle w:val="ListParagraph"/>
        <w:rPr>
          <w:rFonts w:ascii="AbcPrint" w:hAnsi="AbcPrint"/>
        </w:rPr>
      </w:pPr>
      <w:r w:rsidRPr="007411D5">
        <w:rPr>
          <w:rFonts w:ascii="AbcPrint" w:hAnsi="AbcPrint"/>
        </w:rPr>
        <w:t xml:space="preserve">  </w:t>
      </w:r>
    </w:p>
    <w:p w:rsidR="009A18EB" w:rsidRPr="007411D5" w:rsidRDefault="009A18EB">
      <w:pPr>
        <w:rPr>
          <w:rFonts w:ascii="AbcPrint" w:hAnsi="AbcPrint"/>
        </w:rPr>
      </w:pPr>
      <w:r w:rsidRPr="007411D5">
        <w:rPr>
          <w:rFonts w:ascii="AbcPrint" w:hAnsi="AbcPrint"/>
        </w:rPr>
        <w:t>Denominator</w:t>
      </w:r>
    </w:p>
    <w:p w:rsidR="009A18EB" w:rsidRPr="007411D5" w:rsidRDefault="009A18EB" w:rsidP="009A18EB">
      <w:pPr>
        <w:pStyle w:val="ListParagraph"/>
        <w:numPr>
          <w:ilvl w:val="0"/>
          <w:numId w:val="4"/>
        </w:numPr>
        <w:rPr>
          <w:rFonts w:ascii="AbcPrint" w:hAnsi="AbcPrint"/>
        </w:rPr>
      </w:pPr>
      <w:r w:rsidRPr="007411D5">
        <w:rPr>
          <w:rFonts w:ascii="AbcPrint" w:hAnsi="AbcPrint"/>
        </w:rPr>
        <w:t>Bottom part</w:t>
      </w:r>
    </w:p>
    <w:p w:rsidR="009A18EB" w:rsidRPr="007411D5" w:rsidRDefault="00165173" w:rsidP="009A18EB">
      <w:pPr>
        <w:pStyle w:val="ListParagraph"/>
        <w:numPr>
          <w:ilvl w:val="0"/>
          <w:numId w:val="4"/>
        </w:numPr>
        <w:rPr>
          <w:rFonts w:ascii="AbcPrint" w:hAnsi="AbcPrint"/>
        </w:rPr>
      </w:pPr>
      <w:r w:rsidRPr="007411D5">
        <w:rPr>
          <w:rFonts w:ascii="AbcPrint" w:hAnsi="AbcPrint"/>
        </w:rPr>
        <w:t>Total number of equal parts in a whole</w:t>
      </w:r>
    </w:p>
    <w:p w:rsidR="00165173" w:rsidRPr="007411D5" w:rsidRDefault="00165173" w:rsidP="00165173">
      <w:pPr>
        <w:pStyle w:val="ListParagraph"/>
        <w:rPr>
          <w:rFonts w:ascii="AbcPrint" w:hAnsi="AbcPrint"/>
        </w:rPr>
      </w:pPr>
    </w:p>
    <w:p w:rsidR="009A18EB" w:rsidRPr="007411D5" w:rsidRDefault="009A18EB">
      <w:pPr>
        <w:rPr>
          <w:rFonts w:ascii="AbcPrint" w:hAnsi="AbcPrint"/>
        </w:rPr>
      </w:pPr>
      <w:r w:rsidRPr="007411D5">
        <w:rPr>
          <w:rFonts w:ascii="AbcPrint" w:hAnsi="AbcPrint"/>
        </w:rPr>
        <w:t xml:space="preserve">Numerator </w:t>
      </w:r>
    </w:p>
    <w:p w:rsidR="009A18EB" w:rsidRPr="007411D5" w:rsidRDefault="009A18EB" w:rsidP="009A18EB">
      <w:pPr>
        <w:pStyle w:val="ListParagraph"/>
        <w:numPr>
          <w:ilvl w:val="0"/>
          <w:numId w:val="3"/>
        </w:numPr>
        <w:rPr>
          <w:rFonts w:ascii="AbcPrint" w:hAnsi="AbcPrint"/>
        </w:rPr>
      </w:pPr>
      <w:r w:rsidRPr="007411D5">
        <w:rPr>
          <w:rFonts w:ascii="AbcPrint" w:hAnsi="AbcPrint"/>
        </w:rPr>
        <w:t>Top part</w:t>
      </w:r>
    </w:p>
    <w:p w:rsidR="009A18EB" w:rsidRPr="007411D5" w:rsidRDefault="009A18EB" w:rsidP="009A18EB">
      <w:pPr>
        <w:pStyle w:val="ListParagraph"/>
        <w:numPr>
          <w:ilvl w:val="0"/>
          <w:numId w:val="3"/>
        </w:numPr>
        <w:rPr>
          <w:rFonts w:ascii="AbcPrint" w:hAnsi="AbcPrint"/>
        </w:rPr>
      </w:pPr>
      <w:r w:rsidRPr="007411D5">
        <w:rPr>
          <w:rFonts w:ascii="AbcPrint" w:hAnsi="AbcPrint"/>
        </w:rPr>
        <w:t>Number of pieces selected, eaten, shaded, used, chosen</w:t>
      </w:r>
      <w:r w:rsidR="00165173" w:rsidRPr="007411D5">
        <w:rPr>
          <w:rFonts w:ascii="AbcPrint" w:hAnsi="AbcPrint"/>
        </w:rPr>
        <w:t>…</w:t>
      </w:r>
    </w:p>
    <w:p w:rsidR="00165173" w:rsidRPr="007411D5" w:rsidRDefault="00165173" w:rsidP="00165173">
      <w:pPr>
        <w:pStyle w:val="ListParagraph"/>
        <w:rPr>
          <w:rFonts w:ascii="AbcPrint" w:hAnsi="AbcPrint"/>
        </w:rPr>
      </w:pPr>
    </w:p>
    <w:p w:rsidR="009A18EB" w:rsidRPr="007411D5" w:rsidRDefault="009A18EB">
      <w:pPr>
        <w:rPr>
          <w:rFonts w:ascii="AbcPrint" w:hAnsi="AbcPrint"/>
        </w:rPr>
      </w:pPr>
      <w:r w:rsidRPr="007411D5">
        <w:rPr>
          <w:rFonts w:ascii="AbcPrint" w:hAnsi="AbcPrint"/>
        </w:rPr>
        <w:t>Equivalent fractions</w:t>
      </w:r>
    </w:p>
    <w:p w:rsidR="009A18EB" w:rsidRPr="007411D5" w:rsidRDefault="009A18EB" w:rsidP="009A18EB">
      <w:pPr>
        <w:pStyle w:val="ListParagraph"/>
        <w:numPr>
          <w:ilvl w:val="0"/>
          <w:numId w:val="1"/>
        </w:numPr>
        <w:rPr>
          <w:rFonts w:ascii="AbcPrint" w:hAnsi="AbcPrint"/>
        </w:rPr>
      </w:pPr>
      <w:r w:rsidRPr="007411D5">
        <w:rPr>
          <w:rFonts w:ascii="AbcPrint" w:hAnsi="AbcPrint"/>
        </w:rPr>
        <w:t>Same amount selected, eaten, shaded, used, chosen</w:t>
      </w:r>
    </w:p>
    <w:p w:rsidR="009A18EB" w:rsidRPr="007411D5" w:rsidRDefault="009A18EB" w:rsidP="009A18EB">
      <w:pPr>
        <w:pStyle w:val="ListParagraph"/>
        <w:numPr>
          <w:ilvl w:val="0"/>
          <w:numId w:val="1"/>
        </w:numPr>
        <w:rPr>
          <w:rFonts w:ascii="AbcPrint" w:hAnsi="AbcPrint"/>
        </w:rPr>
      </w:pPr>
      <w:r w:rsidRPr="007411D5">
        <w:rPr>
          <w:rFonts w:ascii="AbcPrint" w:hAnsi="AbcPrint"/>
        </w:rPr>
        <w:t>Doesn’t need to be same number of parts</w:t>
      </w:r>
    </w:p>
    <w:p w:rsidR="00165173" w:rsidRPr="007411D5" w:rsidRDefault="00165173" w:rsidP="00165173">
      <w:pPr>
        <w:pStyle w:val="ListParagraph"/>
        <w:numPr>
          <w:ilvl w:val="0"/>
          <w:numId w:val="1"/>
        </w:numPr>
        <w:rPr>
          <w:rFonts w:ascii="AbcPrint" w:hAnsi="AbcPrint"/>
        </w:rPr>
      </w:pPr>
      <w:r w:rsidRPr="007411D5">
        <w:rPr>
          <w:rFonts w:ascii="AbcPrint" w:hAnsi="AbcPrint"/>
        </w:rPr>
        <w:t>Two or more fractions that name the same part of a whole</w:t>
      </w:r>
    </w:p>
    <w:p w:rsidR="00165173" w:rsidRPr="007411D5" w:rsidRDefault="00831BB5" w:rsidP="00165173">
      <w:pPr>
        <w:pStyle w:val="ListParagraph"/>
        <w:rPr>
          <w:rFonts w:ascii="AbcPrint" w:hAnsi="AbcPrint"/>
        </w:rPr>
      </w:pPr>
      <w:r w:rsidRPr="007411D5">
        <w:rPr>
          <w:rFonts w:ascii="AbcPrint" w:hAnsi="AbcPrint"/>
          <w:noProof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238D6698" wp14:editId="02A5A1F3">
                <wp:simplePos x="0" y="0"/>
                <wp:positionH relativeFrom="column">
                  <wp:posOffset>2823210</wp:posOffset>
                </wp:positionH>
                <wp:positionV relativeFrom="paragraph">
                  <wp:posOffset>13969</wp:posOffset>
                </wp:positionV>
                <wp:extent cx="1517650" cy="1133475"/>
                <wp:effectExtent l="0" t="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1D5" w:rsidRDefault="007411D5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tbl>
                            <w:tblPr>
                              <w:tblStyle w:val="TableGrid"/>
                              <w:tblOverlap w:val="never"/>
                              <w:tblW w:w="21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6"/>
                              <w:gridCol w:w="1101"/>
                            </w:tblGrid>
                            <w:tr w:rsidR="007411D5" w:rsidRPr="00165173" w:rsidTr="00165173">
                              <w:trPr>
                                <w:trHeight w:val="355"/>
                              </w:trPr>
                              <w:tc>
                                <w:tcPr>
                                  <w:tcW w:w="1066" w:type="dxa"/>
                                  <w:shd w:val="clear" w:color="auto" w:fill="4F81BD" w:themeFill="accent1"/>
                                </w:tcPr>
                                <w:p w:rsidR="007411D5" w:rsidRPr="00165173" w:rsidRDefault="007411D5" w:rsidP="00165173">
                                  <w:pPr>
                                    <w:spacing w:line="276" w:lineRule="auto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:rsidR="007411D5" w:rsidRPr="00165173" w:rsidRDefault="007411D5" w:rsidP="00165173">
                                  <w:pPr>
                                    <w:spacing w:line="276" w:lineRule="auto"/>
                                    <w:suppressOverlap/>
                                  </w:pPr>
                                </w:p>
                              </w:tc>
                            </w:tr>
                            <w:tr w:rsidR="007411D5" w:rsidRPr="00165173" w:rsidTr="00165173">
                              <w:trPr>
                                <w:trHeight w:val="355"/>
                              </w:trPr>
                              <w:tc>
                                <w:tcPr>
                                  <w:tcW w:w="1066" w:type="dxa"/>
                                  <w:shd w:val="clear" w:color="auto" w:fill="4F81BD" w:themeFill="accent1"/>
                                </w:tcPr>
                                <w:p w:rsidR="007411D5" w:rsidRPr="00165173" w:rsidRDefault="007411D5" w:rsidP="00165173">
                                  <w:pPr>
                                    <w:spacing w:line="276" w:lineRule="auto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:rsidR="007411D5" w:rsidRPr="00165173" w:rsidRDefault="007411D5" w:rsidP="00165173">
                                  <w:pPr>
                                    <w:spacing w:line="276" w:lineRule="auto"/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7411D5" w:rsidRDefault="007411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D66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3pt;margin-top:1.1pt;width:119.5pt;height:89.2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" stroked="f">
                <v:textbox>
                  <w:txbxContent>
                    <w:p w:rsidR="007411D5" w:rsidRDefault="007411D5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tbl>
                      <w:tblPr>
                        <w:tblStyle w:val="TableGrid"/>
                        <w:tblOverlap w:val="never"/>
                        <w:tblW w:w="2167" w:type="dxa"/>
                        <w:tblLook w:val="04A0" w:firstRow="1" w:lastRow="0" w:firstColumn="1" w:lastColumn="0" w:noHBand="0" w:noVBand="1"/>
                      </w:tblPr>
                      <w:tblGrid>
                        <w:gridCol w:w="1066"/>
                        <w:gridCol w:w="1101"/>
                      </w:tblGrid>
                      <w:tr w:rsidR="007411D5" w:rsidRPr="00165173" w:rsidTr="00165173">
                        <w:trPr>
                          <w:trHeight w:val="355"/>
                        </w:trPr>
                        <w:tc>
                          <w:tcPr>
                            <w:tcW w:w="1066" w:type="dxa"/>
                            <w:shd w:val="clear" w:color="auto" w:fill="4F81BD" w:themeFill="accent1"/>
                          </w:tcPr>
                          <w:p w:rsidR="007411D5" w:rsidRPr="00165173" w:rsidRDefault="007411D5" w:rsidP="00165173">
                            <w:pPr>
                              <w:spacing w:line="276" w:lineRule="auto"/>
                              <w:suppressOverlap/>
                            </w:pPr>
                          </w:p>
                        </w:tc>
                        <w:tc>
                          <w:tcPr>
                            <w:tcW w:w="1101" w:type="dxa"/>
                          </w:tcPr>
                          <w:p w:rsidR="007411D5" w:rsidRPr="00165173" w:rsidRDefault="007411D5" w:rsidP="00165173">
                            <w:pPr>
                              <w:spacing w:line="276" w:lineRule="auto"/>
                              <w:suppressOverlap/>
                            </w:pPr>
                          </w:p>
                        </w:tc>
                      </w:tr>
                      <w:tr w:rsidR="007411D5" w:rsidRPr="00165173" w:rsidTr="00165173">
                        <w:trPr>
                          <w:trHeight w:val="355"/>
                        </w:trPr>
                        <w:tc>
                          <w:tcPr>
                            <w:tcW w:w="1066" w:type="dxa"/>
                            <w:shd w:val="clear" w:color="auto" w:fill="4F81BD" w:themeFill="accent1"/>
                          </w:tcPr>
                          <w:p w:rsidR="007411D5" w:rsidRPr="00165173" w:rsidRDefault="007411D5" w:rsidP="00165173">
                            <w:pPr>
                              <w:spacing w:line="276" w:lineRule="auto"/>
                              <w:suppressOverlap/>
                            </w:pPr>
                          </w:p>
                        </w:tc>
                        <w:tc>
                          <w:tcPr>
                            <w:tcW w:w="1101" w:type="dxa"/>
                          </w:tcPr>
                          <w:p w:rsidR="007411D5" w:rsidRPr="00165173" w:rsidRDefault="007411D5" w:rsidP="00165173">
                            <w:pPr>
                              <w:spacing w:line="276" w:lineRule="auto"/>
                              <w:suppressOverlap/>
                            </w:pPr>
                          </w:p>
                        </w:tc>
                      </w:tr>
                    </w:tbl>
                    <w:p w:rsidR="007411D5" w:rsidRDefault="007411D5"/>
                  </w:txbxContent>
                </v:textbox>
              </v:shape>
            </w:pict>
          </mc:Fallback>
        </mc:AlternateContent>
      </w:r>
      <w:r w:rsidRPr="007411D5">
        <w:rPr>
          <w:rFonts w:ascii="AbcPrint" w:hAnsi="AbcPrint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6BF1525" wp14:editId="7B9B0258">
                <wp:simplePos x="0" y="0"/>
                <wp:positionH relativeFrom="column">
                  <wp:posOffset>908685</wp:posOffset>
                </wp:positionH>
                <wp:positionV relativeFrom="paragraph">
                  <wp:posOffset>5715</wp:posOffset>
                </wp:positionV>
                <wp:extent cx="1514475" cy="12001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1D5" w:rsidRDefault="007411D5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7"/>
                              <w:gridCol w:w="1036"/>
                            </w:tblGrid>
                            <w:tr w:rsidR="007411D5" w:rsidRPr="00165173" w:rsidTr="00165173">
                              <w:trPr>
                                <w:trHeight w:val="883"/>
                              </w:trPr>
                              <w:tc>
                                <w:tcPr>
                                  <w:tcW w:w="1058" w:type="dxa"/>
                                  <w:shd w:val="clear" w:color="auto" w:fill="4F81BD" w:themeFill="accent1"/>
                                </w:tcPr>
                                <w:p w:rsidR="007411D5" w:rsidRPr="00165173" w:rsidRDefault="007411D5" w:rsidP="0016517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:rsidR="007411D5" w:rsidRPr="00165173" w:rsidRDefault="007411D5" w:rsidP="00165173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7411D5" w:rsidRDefault="007411D5"/>
                          <w:p w:rsidR="007411D5" w:rsidRDefault="007411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F1525" id="_x0000_s1027" type="#_x0000_t202" style="position:absolute;left:0;text-align:left;margin-left:71.55pt;margin-top:.45pt;width:119.25pt;height:94.5pt;z-index:-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" stroked="f">
                <v:textbox>
                  <w:txbxContent>
                    <w:p w:rsidR="007411D5" w:rsidRDefault="007411D5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7"/>
                        <w:gridCol w:w="1036"/>
                      </w:tblGrid>
                      <w:tr w:rsidR="007411D5" w:rsidRPr="00165173" w:rsidTr="00165173">
                        <w:trPr>
                          <w:trHeight w:val="883"/>
                        </w:trPr>
                        <w:tc>
                          <w:tcPr>
                            <w:tcW w:w="1058" w:type="dxa"/>
                            <w:shd w:val="clear" w:color="auto" w:fill="4F81BD" w:themeFill="accent1"/>
                          </w:tcPr>
                          <w:p w:rsidR="007411D5" w:rsidRPr="00165173" w:rsidRDefault="007411D5" w:rsidP="0016517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058" w:type="dxa"/>
                          </w:tcPr>
                          <w:p w:rsidR="007411D5" w:rsidRPr="00165173" w:rsidRDefault="007411D5" w:rsidP="00165173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7411D5" w:rsidRDefault="007411D5"/>
                    <w:p w:rsidR="007411D5" w:rsidRDefault="007411D5"/>
                  </w:txbxContent>
                </v:textbox>
              </v:shape>
            </w:pict>
          </mc:Fallback>
        </mc:AlternateContent>
      </w:r>
      <w:r w:rsidR="00165173" w:rsidRPr="007411D5">
        <w:rPr>
          <w:rFonts w:ascii="AbcPrint" w:hAnsi="AbcPrint"/>
        </w:rPr>
        <w:t xml:space="preserve"> </w:t>
      </w:r>
    </w:p>
    <w:p w:rsidR="00165173" w:rsidRPr="007411D5" w:rsidRDefault="00831BB5" w:rsidP="00165173">
      <w:pPr>
        <w:pStyle w:val="ListParagraph"/>
        <w:rPr>
          <w:rFonts w:ascii="AbcPrint" w:hAnsi="AbcPrint"/>
        </w:rPr>
      </w:pPr>
      <w:r w:rsidRPr="007411D5">
        <w:rPr>
          <w:rFonts w:ascii="AbcPrint" w:hAnsi="AbcPrint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098AD63" wp14:editId="0C40A189">
                <wp:simplePos x="0" y="0"/>
                <wp:positionH relativeFrom="column">
                  <wp:posOffset>2442210</wp:posOffset>
                </wp:positionH>
                <wp:positionV relativeFrom="paragraph">
                  <wp:posOffset>231775</wp:posOffset>
                </wp:positionV>
                <wp:extent cx="257175" cy="140462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1D5" w:rsidRDefault="007411D5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98AD63" id="_x0000_s1028" type="#_x0000_t202" style="position:absolute;left:0;text-align:left;margin-left:192.3pt;margin-top:18.25pt;width:20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ioIQIAACI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" stroked="f">
                <v:textbox style="mso-fit-shape-to-text:t">
                  <w:txbxContent>
                    <w:p w:rsidR="007411D5" w:rsidRDefault="007411D5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831BB5" w:rsidRPr="007411D5" w:rsidRDefault="00831BB5" w:rsidP="00165173">
      <w:pPr>
        <w:rPr>
          <w:rFonts w:ascii="AbcPrint" w:hAnsi="AbcPrint"/>
        </w:rPr>
      </w:pPr>
      <w:r w:rsidRPr="007411D5">
        <w:rPr>
          <w:rFonts w:ascii="AbcPrint" w:hAnsi="AbcPrint"/>
        </w:rPr>
        <w:t xml:space="preserve">Models: </w:t>
      </w:r>
    </w:p>
    <w:p w:rsidR="00831BB5" w:rsidRPr="007411D5" w:rsidRDefault="00831BB5" w:rsidP="00165173">
      <w:pPr>
        <w:rPr>
          <w:rFonts w:ascii="AbcPrint" w:hAnsi="AbcPrint"/>
        </w:rPr>
      </w:pPr>
    </w:p>
    <w:p w:rsidR="00831BB5" w:rsidRPr="007411D5" w:rsidRDefault="00831BB5" w:rsidP="00165173">
      <w:pPr>
        <w:rPr>
          <w:rFonts w:ascii="AbcPrint" w:hAnsi="AbcPrint"/>
        </w:rPr>
      </w:pPr>
    </w:p>
    <w:p w:rsidR="00831BB5" w:rsidRPr="007411D5" w:rsidRDefault="00831BB5" w:rsidP="00165173">
      <w:pPr>
        <w:rPr>
          <w:rFonts w:ascii="AbcPrint" w:hAnsi="AbcPrint"/>
        </w:rPr>
      </w:pPr>
      <w:r w:rsidRPr="007411D5">
        <w:rPr>
          <w:rFonts w:ascii="AbcPrint" w:hAnsi="AbcPrint"/>
          <w:noProof/>
        </w:rPr>
        <w:drawing>
          <wp:anchor distT="0" distB="0" distL="114300" distR="114300" simplePos="0" relativeHeight="251663872" behindDoc="1" locked="0" layoutInCell="1" allowOverlap="1" wp14:anchorId="48E519C2" wp14:editId="1819F3D5">
            <wp:simplePos x="0" y="0"/>
            <wp:positionH relativeFrom="column">
              <wp:posOffset>1165860</wp:posOffset>
            </wp:positionH>
            <wp:positionV relativeFrom="paragraph">
              <wp:posOffset>12065</wp:posOffset>
            </wp:positionV>
            <wp:extent cx="2819400" cy="973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BB5" w:rsidRPr="007411D5" w:rsidRDefault="00831BB5" w:rsidP="00165173">
      <w:pPr>
        <w:rPr>
          <w:rFonts w:ascii="AbcPrint" w:hAnsi="AbcPrint"/>
        </w:rPr>
      </w:pPr>
      <w:r w:rsidRPr="007411D5">
        <w:rPr>
          <w:rFonts w:ascii="AbcPrint" w:hAnsi="AbcPrint"/>
        </w:rPr>
        <w:t xml:space="preserve">Number Line: </w:t>
      </w:r>
    </w:p>
    <w:p w:rsidR="007411D5" w:rsidRPr="007411D5" w:rsidRDefault="007411D5" w:rsidP="00165173">
      <w:pPr>
        <w:rPr>
          <w:rFonts w:ascii="AbcPrint" w:hAnsi="AbcPrint"/>
        </w:rPr>
      </w:pPr>
    </w:p>
    <w:p w:rsidR="007411D5" w:rsidRDefault="007411D5" w:rsidP="00165173">
      <w:pPr>
        <w:rPr>
          <w:rFonts w:ascii="AbcPrint" w:hAnsi="AbcPrint"/>
        </w:rPr>
      </w:pPr>
    </w:p>
    <w:p w:rsidR="00730CA3" w:rsidRDefault="00730CA3" w:rsidP="00165173">
      <w:pPr>
        <w:rPr>
          <w:rFonts w:ascii="AbcPrint" w:hAnsi="AbcPrint"/>
        </w:rPr>
      </w:pPr>
      <w:r>
        <w:rPr>
          <w:rFonts w:ascii="AbcPrint" w:hAnsi="AbcPrint"/>
        </w:rPr>
        <w:t xml:space="preserve">(Equivalent Fractions) Whole numbers as a fraction:  </w:t>
      </w:r>
    </w:p>
    <w:p w:rsidR="00730CA3" w:rsidRPr="00730CA3" w:rsidRDefault="00730CA3" w:rsidP="00730CA3">
      <w:pPr>
        <w:pStyle w:val="ListParagraph"/>
        <w:numPr>
          <w:ilvl w:val="0"/>
          <w:numId w:val="8"/>
        </w:numPr>
        <w:rPr>
          <w:rFonts w:ascii="AbcPrint" w:hAnsi="AbcPrint"/>
        </w:rPr>
      </w:pPr>
      <w:r>
        <w:rPr>
          <w:rFonts w:ascii="AbcPrint" w:hAnsi="AbcPrint"/>
        </w:rPr>
        <w:t xml:space="preserve">Any number with one as the denominator equals a whole: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rPr>
          <w:rFonts w:ascii="AbcPrint" w:eastAsiaTheme="minorEastAsia" w:hAnsi="AbcPrint"/>
        </w:rPr>
        <w:t xml:space="preserve"> = 2,</w:t>
      </w:r>
      <w:r w:rsidR="009A4DB7">
        <w:rPr>
          <w:rFonts w:ascii="AbcPrint" w:eastAsiaTheme="minorEastAsia" w:hAnsi="AbcPrint"/>
        </w:rPr>
        <w:t xml:space="preserve">  </w:t>
      </w:r>
      <w:r>
        <w:rPr>
          <w:rFonts w:ascii="AbcPrint" w:eastAsiaTheme="minorEastAsia" w:hAnsi="AbcPrin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rPr>
          <w:rFonts w:ascii="AbcPrint" w:eastAsiaTheme="minorEastAsia" w:hAnsi="AbcPrint"/>
        </w:rPr>
        <w:t xml:space="preserve"> = 3,</w:t>
      </w:r>
      <w:r w:rsidR="009A4DB7">
        <w:rPr>
          <w:rFonts w:ascii="AbcPrint" w:eastAsiaTheme="minorEastAsia" w:hAnsi="AbcPrint"/>
        </w:rPr>
        <w:t xml:space="preserve">  </w:t>
      </w:r>
      <w:r>
        <w:rPr>
          <w:rFonts w:ascii="AbcPrint" w:eastAsiaTheme="minorEastAsia" w:hAnsi="AbcPrin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rPr>
          <w:rFonts w:ascii="AbcPrint" w:eastAsiaTheme="minorEastAsia" w:hAnsi="AbcPrint"/>
        </w:rPr>
        <w:t xml:space="preserve"> = 4</w:t>
      </w:r>
    </w:p>
    <w:p w:rsidR="00730CA3" w:rsidRPr="00730CA3" w:rsidRDefault="00730CA3" w:rsidP="00730CA3">
      <w:pPr>
        <w:pStyle w:val="ListParagraph"/>
        <w:numPr>
          <w:ilvl w:val="0"/>
          <w:numId w:val="8"/>
        </w:numPr>
        <w:rPr>
          <w:rFonts w:ascii="AbcPrint" w:hAnsi="AbcPrint"/>
        </w:rPr>
      </w:pPr>
      <w:r>
        <w:rPr>
          <w:rFonts w:ascii="AbcPrint" w:eastAsiaTheme="minorEastAsia" w:hAnsi="AbcPrint"/>
        </w:rPr>
        <w:t xml:space="preserve">The fraction bar is a division sign: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AbcPrint" w:eastAsiaTheme="minorEastAsia" w:hAnsi="AbcPrint"/>
        </w:rPr>
        <w:t xml:space="preserve"> = 2,</w:t>
      </w:r>
      <w:r w:rsidR="009A4DB7">
        <w:rPr>
          <w:rFonts w:ascii="AbcPrint" w:eastAsiaTheme="minorEastAsia" w:hAnsi="AbcPrint"/>
        </w:rPr>
        <w:t xml:space="preserve">  </w:t>
      </w:r>
      <w:r w:rsidR="009A4DB7">
        <w:rPr>
          <w:rFonts w:ascii="AbcPrint" w:eastAsiaTheme="minorEastAsia" w:hAnsi="AbcPrin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9A4DB7">
        <w:rPr>
          <w:rFonts w:ascii="AbcPrint" w:eastAsiaTheme="minorEastAsia" w:hAnsi="AbcPrint"/>
        </w:rPr>
        <w:t xml:space="preserve"> = 2</w:t>
      </w:r>
      <w:r w:rsidR="009A4DB7">
        <w:rPr>
          <w:rFonts w:ascii="AbcPrint" w:eastAsiaTheme="minorEastAsia" w:hAnsi="AbcPrint"/>
        </w:rPr>
        <w:t xml:space="preserve">,  </w:t>
      </w:r>
      <w:r>
        <w:rPr>
          <w:rFonts w:ascii="AbcPrint" w:eastAsiaTheme="minorEastAsia" w:hAnsi="AbcPrin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AbcPrint" w:eastAsiaTheme="minorEastAsia" w:hAnsi="AbcPrint"/>
        </w:rPr>
        <w:t xml:space="preserve"> = 3</w:t>
      </w:r>
    </w:p>
    <w:p w:rsidR="007411D5" w:rsidRDefault="007411D5" w:rsidP="00165173">
      <w:pPr>
        <w:rPr>
          <w:rFonts w:ascii="AbcPrint" w:hAnsi="AbcPrint"/>
        </w:rPr>
      </w:pPr>
    </w:p>
    <w:p w:rsidR="009A4DB7" w:rsidRDefault="009A4DB7" w:rsidP="007411D5">
      <w:pPr>
        <w:jc w:val="center"/>
        <w:rPr>
          <w:rFonts w:ascii="AbcPrint" w:hAnsi="AbcPrint"/>
        </w:rPr>
      </w:pPr>
    </w:p>
    <w:p w:rsidR="00165173" w:rsidRPr="007411D5" w:rsidRDefault="00165173" w:rsidP="007411D5">
      <w:pPr>
        <w:jc w:val="center"/>
        <w:rPr>
          <w:rFonts w:ascii="AbcPrint" w:hAnsi="AbcPrint"/>
        </w:rPr>
      </w:pPr>
      <w:bookmarkStart w:id="0" w:name="_GoBack"/>
      <w:bookmarkEnd w:id="0"/>
      <w:r w:rsidRPr="007411D5">
        <w:rPr>
          <w:rFonts w:ascii="AbcPrint" w:hAnsi="AbcPrint"/>
        </w:rPr>
        <w:lastRenderedPageBreak/>
        <w:t>Comparing fractions (</w:t>
      </w:r>
      <w:r w:rsidR="007411D5">
        <w:rPr>
          <w:rFonts w:ascii="AbcPrint" w:hAnsi="AbcPrint"/>
        </w:rPr>
        <w:t>greater than, less than, equal to</w:t>
      </w:r>
      <w:r w:rsidRPr="007411D5">
        <w:rPr>
          <w:rFonts w:ascii="AbcPrint" w:hAnsi="AbcPrint"/>
        </w:rPr>
        <w:t>)</w:t>
      </w:r>
    </w:p>
    <w:p w:rsidR="00165173" w:rsidRPr="007411D5" w:rsidRDefault="00165173" w:rsidP="00165173">
      <w:pPr>
        <w:pStyle w:val="ListParagraph"/>
        <w:numPr>
          <w:ilvl w:val="0"/>
          <w:numId w:val="1"/>
        </w:numPr>
        <w:rPr>
          <w:rFonts w:ascii="AbcPrint" w:hAnsi="AbcPrint"/>
        </w:rPr>
      </w:pPr>
      <w:r w:rsidRPr="007411D5">
        <w:rPr>
          <w:rFonts w:ascii="AbcPrint" w:hAnsi="AbcPrint"/>
        </w:rPr>
        <w:t>Must compare using the same size wholes</w:t>
      </w:r>
    </w:p>
    <w:tbl>
      <w:tblPr>
        <w:tblW w:w="8856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7411D5" w:rsidRPr="007411D5" w:rsidTr="007411D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7411D5" w:rsidRPr="007411D5" w:rsidRDefault="007411D5" w:rsidP="007411D5">
            <w:pPr>
              <w:spacing w:before="120"/>
              <w:rPr>
                <w:rFonts w:ascii="AbcPrint" w:hAnsi="AbcPrint"/>
                <w:sz w:val="26"/>
                <w:szCs w:val="26"/>
              </w:rPr>
            </w:pPr>
            <w:r w:rsidRPr="007411D5">
              <w:rPr>
                <w:rFonts w:ascii="AbcPrint" w:hAnsi="AbcPrint"/>
                <w:sz w:val="26"/>
                <w:szCs w:val="26"/>
              </w:rPr>
              <w:t>When the numerators of the two fractions are the same…</w:t>
            </w:r>
          </w:p>
          <w:p w:rsidR="007411D5" w:rsidRPr="007411D5" w:rsidRDefault="007411D5" w:rsidP="007411D5">
            <w:pPr>
              <w:rPr>
                <w:rFonts w:ascii="AbcPrint" w:hAnsi="AbcPrint"/>
                <w:sz w:val="26"/>
                <w:szCs w:val="26"/>
              </w:rPr>
            </w:pPr>
          </w:p>
        </w:tc>
        <w:tc>
          <w:tcPr>
            <w:tcW w:w="4428" w:type="dxa"/>
          </w:tcPr>
          <w:p w:rsidR="007411D5" w:rsidRPr="007411D5" w:rsidRDefault="007411D5" w:rsidP="007411D5">
            <w:pPr>
              <w:rPr>
                <w:rFonts w:ascii="AbcPrint" w:hAnsi="AbcPrint"/>
                <w:sz w:val="26"/>
                <w:szCs w:val="26"/>
              </w:rPr>
            </w:pPr>
            <w:r w:rsidRPr="007411D5">
              <w:rPr>
                <w:rFonts w:ascii="AbcPrint" w:hAnsi="AbcPrint"/>
                <w:sz w:val="26"/>
                <w:szCs w:val="26"/>
              </w:rPr>
              <w:t xml:space="preserve">…compare the denominators. </w:t>
            </w:r>
          </w:p>
          <w:p w:rsidR="007411D5" w:rsidRPr="007411D5" w:rsidRDefault="007411D5" w:rsidP="007411D5">
            <w:pPr>
              <w:rPr>
                <w:rFonts w:ascii="AbcPrint" w:hAnsi="AbcPrint"/>
                <w:sz w:val="26"/>
                <w:szCs w:val="26"/>
              </w:rPr>
            </w:pPr>
            <w:r w:rsidRPr="007411D5">
              <w:rPr>
                <w:rFonts w:ascii="AbcPrint" w:hAnsi="AbcPrint"/>
                <w:sz w:val="26"/>
                <w:szCs w:val="26"/>
              </w:rPr>
              <w:t xml:space="preserve">ex:   Compare </w:t>
            </w:r>
            <w:r w:rsidRPr="007411D5">
              <w:rPr>
                <w:rFonts w:ascii="AbcPrint" w:hAnsi="AbcPrint"/>
                <w:position w:val="-24"/>
                <w:sz w:val="26"/>
                <w:szCs w:val="26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1pt;height:31pt" o:ole="" fillcolor="window">
                  <v:imagedata r:id="rId9" o:title=""/>
                </v:shape>
                <o:OLEObject Type="Embed" ProgID="Equation.3" ShapeID="_x0000_i1029" DrawAspect="Content" ObjectID="_1519202255" r:id="rId10"/>
              </w:object>
            </w:r>
            <w:r w:rsidRPr="007411D5">
              <w:rPr>
                <w:rFonts w:ascii="AbcPrint" w:hAnsi="AbcPrint"/>
                <w:sz w:val="26"/>
                <w:szCs w:val="26"/>
              </w:rPr>
              <w:t xml:space="preserve">  and </w:t>
            </w:r>
            <w:r w:rsidRPr="007411D5">
              <w:rPr>
                <w:rFonts w:ascii="AbcPrint" w:hAnsi="AbcPrint"/>
                <w:position w:val="-24"/>
                <w:sz w:val="26"/>
                <w:szCs w:val="26"/>
              </w:rPr>
              <w:object w:dxaOrig="220" w:dyaOrig="620">
                <v:shape id="_x0000_i1030" type="#_x0000_t75" style="width:11pt;height:31pt" o:ole="" fillcolor="window">
                  <v:imagedata r:id="rId11" o:title=""/>
                </v:shape>
                <o:OLEObject Type="Embed" ProgID="Equation.3" ShapeID="_x0000_i1030" DrawAspect="Content" ObjectID="_1519202256" r:id="rId12"/>
              </w:object>
            </w:r>
          </w:p>
          <w:p w:rsidR="007411D5" w:rsidRPr="007411D5" w:rsidRDefault="007411D5" w:rsidP="007411D5">
            <w:pPr>
              <w:numPr>
                <w:ilvl w:val="0"/>
                <w:numId w:val="5"/>
              </w:numPr>
              <w:spacing w:line="240" w:lineRule="auto"/>
              <w:rPr>
                <w:rFonts w:ascii="AbcPrint" w:hAnsi="AbcPrint"/>
                <w:sz w:val="26"/>
                <w:szCs w:val="26"/>
              </w:rPr>
            </w:pPr>
            <w:r w:rsidRPr="007411D5">
              <w:rPr>
                <w:rFonts w:ascii="AbcPrint" w:hAnsi="AbcPrint"/>
                <w:sz w:val="26"/>
                <w:szCs w:val="26"/>
              </w:rPr>
              <w:t xml:space="preserve">The </w:t>
            </w:r>
            <w:r w:rsidRPr="007411D5">
              <w:rPr>
                <w:rFonts w:ascii="AbcPrint" w:hAnsi="AbcPrint"/>
                <w:b/>
                <w:sz w:val="26"/>
                <w:szCs w:val="26"/>
                <w:u w:val="single"/>
              </w:rPr>
              <w:t>smaller</w:t>
            </w:r>
            <w:r w:rsidRPr="007411D5">
              <w:rPr>
                <w:rFonts w:ascii="AbcPrint" w:hAnsi="AbcPrint"/>
                <w:sz w:val="26"/>
                <w:szCs w:val="26"/>
              </w:rPr>
              <w:t xml:space="preserve"> denominator means that there are fewer pieces in the whole, so the pieces must be </w:t>
            </w:r>
            <w:r w:rsidRPr="007411D5">
              <w:rPr>
                <w:rFonts w:ascii="AbcPrint" w:hAnsi="AbcPrint"/>
                <w:b/>
                <w:sz w:val="26"/>
                <w:szCs w:val="26"/>
                <w:u w:val="single"/>
              </w:rPr>
              <w:t>larger</w:t>
            </w:r>
            <w:r w:rsidRPr="007411D5">
              <w:rPr>
                <w:rFonts w:ascii="AbcPrint" w:hAnsi="AbcPrint"/>
                <w:sz w:val="26"/>
                <w:szCs w:val="26"/>
              </w:rPr>
              <w:t>.</w:t>
            </w:r>
          </w:p>
          <w:p w:rsidR="007411D5" w:rsidRPr="007411D5" w:rsidRDefault="007411D5" w:rsidP="007411D5">
            <w:pPr>
              <w:numPr>
                <w:ilvl w:val="0"/>
                <w:numId w:val="5"/>
              </w:numPr>
              <w:spacing w:line="240" w:lineRule="auto"/>
              <w:rPr>
                <w:rFonts w:ascii="AbcPrint" w:hAnsi="AbcPrint"/>
                <w:sz w:val="26"/>
                <w:szCs w:val="26"/>
              </w:rPr>
            </w:pPr>
            <w:r w:rsidRPr="007411D5">
              <w:rPr>
                <w:rFonts w:ascii="AbcPrint" w:hAnsi="AbcPrint"/>
                <w:sz w:val="26"/>
                <w:szCs w:val="26"/>
              </w:rPr>
              <w:t xml:space="preserve">Since the </w:t>
            </w:r>
            <w:r w:rsidRPr="007411D5">
              <w:rPr>
                <w:rFonts w:ascii="AbcPrint" w:hAnsi="AbcPrint"/>
                <w:b/>
                <w:sz w:val="26"/>
                <w:szCs w:val="26"/>
                <w:u w:val="single"/>
              </w:rPr>
              <w:t>number</w:t>
            </w:r>
            <w:r w:rsidRPr="007411D5">
              <w:rPr>
                <w:rFonts w:ascii="AbcPrint" w:hAnsi="AbcPrint"/>
                <w:sz w:val="26"/>
                <w:szCs w:val="26"/>
              </w:rPr>
              <w:t xml:space="preserve"> of pieces is the same, (both fractions are talking about 3 pieces out of the whole), then the smaller the denominator, the larger the fraction.</w:t>
            </w:r>
          </w:p>
          <w:p w:rsidR="007411D5" w:rsidRPr="007411D5" w:rsidRDefault="007411D5" w:rsidP="007411D5">
            <w:pPr>
              <w:numPr>
                <w:ilvl w:val="0"/>
                <w:numId w:val="5"/>
              </w:numPr>
              <w:spacing w:line="240" w:lineRule="auto"/>
              <w:rPr>
                <w:rFonts w:ascii="AbcPrint" w:hAnsi="AbcPrint"/>
                <w:sz w:val="26"/>
                <w:szCs w:val="26"/>
              </w:rPr>
            </w:pPr>
            <w:r w:rsidRPr="007411D5">
              <w:rPr>
                <w:rFonts w:ascii="AbcPrint" w:hAnsi="AbcPrint"/>
                <w:position w:val="-24"/>
                <w:sz w:val="26"/>
                <w:szCs w:val="26"/>
              </w:rPr>
              <w:object w:dxaOrig="220" w:dyaOrig="620">
                <v:shape id="_x0000_i1031" type="#_x0000_t75" style="width:11pt;height:31pt" o:ole="" fillcolor="window">
                  <v:imagedata r:id="rId9" o:title=""/>
                </v:shape>
                <o:OLEObject Type="Embed" ProgID="Equation.3" ShapeID="_x0000_i1031" DrawAspect="Content" ObjectID="_1519202257" r:id="rId13"/>
              </w:object>
            </w:r>
            <w:r w:rsidRPr="007411D5">
              <w:rPr>
                <w:rFonts w:ascii="AbcPrint" w:hAnsi="AbcPrint"/>
                <w:sz w:val="26"/>
                <w:szCs w:val="26"/>
              </w:rPr>
              <w:t xml:space="preserve"> </w:t>
            </w:r>
            <w:proofErr w:type="gramStart"/>
            <w:r w:rsidRPr="007411D5">
              <w:rPr>
                <w:rFonts w:ascii="AbcPrint" w:hAnsi="AbcPrint"/>
                <w:sz w:val="26"/>
                <w:szCs w:val="26"/>
              </w:rPr>
              <w:t>is</w:t>
            </w:r>
            <w:proofErr w:type="gramEnd"/>
            <w:r w:rsidRPr="007411D5">
              <w:rPr>
                <w:rFonts w:ascii="AbcPrint" w:hAnsi="AbcPrint"/>
                <w:sz w:val="26"/>
                <w:szCs w:val="26"/>
              </w:rPr>
              <w:t xml:space="preserve"> greater than </w:t>
            </w:r>
            <w:r w:rsidRPr="007411D5">
              <w:rPr>
                <w:rFonts w:ascii="Times New Roman" w:hAnsi="Times New Roman" w:cs="Times New Roman"/>
                <w:sz w:val="26"/>
                <w:szCs w:val="26"/>
              </w:rPr>
              <w:t>(&gt;)</w:t>
            </w:r>
            <w:r w:rsidRPr="007411D5">
              <w:rPr>
                <w:rFonts w:ascii="AbcPrint" w:hAnsi="AbcPrint"/>
                <w:position w:val="-24"/>
                <w:sz w:val="26"/>
                <w:szCs w:val="26"/>
              </w:rPr>
              <w:object w:dxaOrig="220" w:dyaOrig="620">
                <v:shape id="_x0000_i1032" type="#_x0000_t75" style="width:11pt;height:31pt" o:ole="" fillcolor="window">
                  <v:imagedata r:id="rId11" o:title=""/>
                </v:shape>
                <o:OLEObject Type="Embed" ProgID="Equation.3" ShapeID="_x0000_i1032" DrawAspect="Content" ObjectID="_1519202258" r:id="rId14"/>
              </w:object>
            </w:r>
            <w:r w:rsidRPr="007411D5">
              <w:rPr>
                <w:rFonts w:ascii="AbcPrint" w:hAnsi="AbcPrint"/>
                <w:sz w:val="26"/>
                <w:szCs w:val="26"/>
              </w:rPr>
              <w:t xml:space="preserve"> because three of the larger pieces (fifths) is more than three of the smaller pieces (eighths).</w:t>
            </w:r>
          </w:p>
          <w:p w:rsidR="007411D5" w:rsidRPr="007411D5" w:rsidRDefault="007411D5" w:rsidP="007411D5">
            <w:pPr>
              <w:rPr>
                <w:rFonts w:ascii="AbcPrint" w:hAnsi="AbcPrint"/>
                <w:sz w:val="26"/>
                <w:szCs w:val="26"/>
              </w:rPr>
            </w:pPr>
          </w:p>
        </w:tc>
      </w:tr>
      <w:tr w:rsidR="007411D5" w:rsidRPr="007411D5" w:rsidTr="007411D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7411D5" w:rsidRPr="007411D5" w:rsidRDefault="007411D5" w:rsidP="007411D5">
            <w:pPr>
              <w:spacing w:before="120"/>
              <w:rPr>
                <w:rFonts w:ascii="AbcPrint" w:hAnsi="AbcPrint"/>
                <w:sz w:val="26"/>
                <w:szCs w:val="26"/>
              </w:rPr>
            </w:pPr>
            <w:r w:rsidRPr="007411D5">
              <w:rPr>
                <w:rFonts w:ascii="AbcPrint" w:hAnsi="AbcPrint"/>
                <w:sz w:val="26"/>
                <w:szCs w:val="26"/>
              </w:rPr>
              <w:t>When the denominators are the same…</w:t>
            </w:r>
          </w:p>
        </w:tc>
        <w:tc>
          <w:tcPr>
            <w:tcW w:w="4428" w:type="dxa"/>
          </w:tcPr>
          <w:p w:rsidR="007411D5" w:rsidRPr="007411D5" w:rsidRDefault="007411D5" w:rsidP="007411D5">
            <w:pPr>
              <w:rPr>
                <w:rFonts w:ascii="AbcPrint" w:hAnsi="AbcPrint"/>
                <w:sz w:val="26"/>
                <w:szCs w:val="26"/>
              </w:rPr>
            </w:pPr>
            <w:r w:rsidRPr="007411D5">
              <w:rPr>
                <w:rFonts w:ascii="AbcPrint" w:hAnsi="AbcPrint"/>
                <w:sz w:val="26"/>
                <w:szCs w:val="26"/>
              </w:rPr>
              <w:t>…compare the numerators.</w:t>
            </w:r>
          </w:p>
          <w:p w:rsidR="007411D5" w:rsidRPr="007411D5" w:rsidRDefault="007411D5" w:rsidP="007411D5">
            <w:pPr>
              <w:rPr>
                <w:rFonts w:ascii="AbcPrint" w:hAnsi="AbcPrint"/>
                <w:sz w:val="26"/>
                <w:szCs w:val="26"/>
              </w:rPr>
            </w:pPr>
            <w:r w:rsidRPr="007411D5">
              <w:rPr>
                <w:rFonts w:ascii="AbcPrint" w:hAnsi="AbcPrint"/>
                <w:sz w:val="26"/>
                <w:szCs w:val="26"/>
              </w:rPr>
              <w:t xml:space="preserve">ex:  Compare </w:t>
            </w:r>
            <w:r w:rsidRPr="007411D5">
              <w:rPr>
                <w:rFonts w:ascii="AbcPrint" w:hAnsi="AbcPrint"/>
                <w:position w:val="-24"/>
                <w:sz w:val="26"/>
                <w:szCs w:val="26"/>
              </w:rPr>
              <w:object w:dxaOrig="220" w:dyaOrig="620">
                <v:shape id="_x0000_i1025" type="#_x0000_t75" style="width:11pt;height:31pt" o:ole="" fillcolor="window">
                  <v:imagedata r:id="rId15" o:title=""/>
                </v:shape>
                <o:OLEObject Type="Embed" ProgID="Equation.3" ShapeID="_x0000_i1025" DrawAspect="Content" ObjectID="_1519202259" r:id="rId16"/>
              </w:object>
            </w:r>
            <w:r w:rsidRPr="007411D5">
              <w:rPr>
                <w:rFonts w:ascii="AbcPrint" w:hAnsi="AbcPrint"/>
                <w:sz w:val="26"/>
                <w:szCs w:val="26"/>
              </w:rPr>
              <w:t xml:space="preserve"> and </w:t>
            </w:r>
            <w:r w:rsidRPr="007411D5">
              <w:rPr>
                <w:rFonts w:ascii="AbcPrint" w:hAnsi="AbcPrint"/>
                <w:position w:val="-24"/>
                <w:sz w:val="26"/>
                <w:szCs w:val="26"/>
              </w:rPr>
              <w:object w:dxaOrig="240" w:dyaOrig="620">
                <v:shape id="_x0000_i1026" type="#_x0000_t75" style="width:12pt;height:31pt" o:ole="" fillcolor="window">
                  <v:imagedata r:id="rId17" o:title=""/>
                </v:shape>
                <o:OLEObject Type="Embed" ProgID="Equation.3" ShapeID="_x0000_i1026" DrawAspect="Content" ObjectID="_1519202260" r:id="rId18"/>
              </w:object>
            </w:r>
            <w:r w:rsidRPr="007411D5">
              <w:rPr>
                <w:rFonts w:ascii="AbcPrint" w:hAnsi="AbcPrint"/>
                <w:sz w:val="26"/>
                <w:szCs w:val="26"/>
              </w:rPr>
              <w:t xml:space="preserve">   </w:t>
            </w:r>
          </w:p>
          <w:p w:rsidR="007411D5" w:rsidRPr="007411D5" w:rsidRDefault="007411D5" w:rsidP="007411D5">
            <w:pPr>
              <w:numPr>
                <w:ilvl w:val="0"/>
                <w:numId w:val="6"/>
              </w:numPr>
              <w:spacing w:line="240" w:lineRule="auto"/>
              <w:rPr>
                <w:rFonts w:ascii="AbcPrint" w:hAnsi="AbcPrint"/>
                <w:sz w:val="26"/>
                <w:szCs w:val="26"/>
              </w:rPr>
            </w:pPr>
            <w:r w:rsidRPr="007411D5">
              <w:rPr>
                <w:rFonts w:ascii="AbcPrint" w:hAnsi="AbcPrint"/>
                <w:sz w:val="26"/>
                <w:szCs w:val="26"/>
              </w:rPr>
              <w:t>Since the denominators are the same, the pieces are all the same size.</w:t>
            </w:r>
          </w:p>
          <w:p w:rsidR="007411D5" w:rsidRPr="007411D5" w:rsidRDefault="007411D5" w:rsidP="007411D5">
            <w:pPr>
              <w:numPr>
                <w:ilvl w:val="0"/>
                <w:numId w:val="6"/>
              </w:numPr>
              <w:spacing w:line="240" w:lineRule="auto"/>
              <w:rPr>
                <w:rFonts w:ascii="AbcPrint" w:hAnsi="AbcPrint"/>
                <w:sz w:val="26"/>
                <w:szCs w:val="26"/>
              </w:rPr>
            </w:pPr>
            <w:r w:rsidRPr="007411D5">
              <w:rPr>
                <w:rFonts w:ascii="AbcPrint" w:hAnsi="AbcPrint"/>
                <w:sz w:val="26"/>
                <w:szCs w:val="26"/>
              </w:rPr>
              <w:t>The larger numerator indicates more pieces, so the larger the numerator, the larger the fraction.</w:t>
            </w:r>
          </w:p>
          <w:p w:rsidR="007411D5" w:rsidRPr="007411D5" w:rsidRDefault="007411D5" w:rsidP="007411D5">
            <w:pPr>
              <w:numPr>
                <w:ilvl w:val="0"/>
                <w:numId w:val="6"/>
              </w:numPr>
              <w:spacing w:before="240" w:line="240" w:lineRule="auto"/>
              <w:rPr>
                <w:rFonts w:ascii="AbcPrint" w:hAnsi="AbcPrint"/>
                <w:sz w:val="26"/>
                <w:szCs w:val="26"/>
              </w:rPr>
            </w:pPr>
            <w:r w:rsidRPr="007411D5">
              <w:rPr>
                <w:rFonts w:ascii="AbcPrint" w:hAnsi="AbcPrint"/>
                <w:position w:val="-24"/>
                <w:sz w:val="26"/>
                <w:szCs w:val="26"/>
              </w:rPr>
              <w:object w:dxaOrig="220" w:dyaOrig="620">
                <v:shape id="_x0000_i1027" type="#_x0000_t75" style="width:11pt;height:31pt" o:ole="" fillcolor="window">
                  <v:imagedata r:id="rId15" o:title=""/>
                </v:shape>
                <o:OLEObject Type="Embed" ProgID="Equation.3" ShapeID="_x0000_i1027" DrawAspect="Content" ObjectID="_1519202261" r:id="rId19"/>
              </w:object>
            </w:r>
            <w:r w:rsidRPr="007411D5">
              <w:rPr>
                <w:rFonts w:ascii="AbcPrint" w:hAnsi="AbcPrint"/>
                <w:sz w:val="26"/>
                <w:szCs w:val="26"/>
              </w:rPr>
              <w:t xml:space="preserve"> </w:t>
            </w:r>
            <w:proofErr w:type="gramStart"/>
            <w:r w:rsidRPr="007411D5">
              <w:rPr>
                <w:rFonts w:ascii="AbcPrint" w:hAnsi="AbcPrint"/>
                <w:sz w:val="26"/>
                <w:szCs w:val="26"/>
              </w:rPr>
              <w:t>is</w:t>
            </w:r>
            <w:proofErr w:type="gramEnd"/>
            <w:r w:rsidRPr="007411D5">
              <w:rPr>
                <w:rFonts w:ascii="AbcPrint" w:hAnsi="AbcPrint"/>
                <w:sz w:val="26"/>
                <w:szCs w:val="26"/>
              </w:rPr>
              <w:t xml:space="preserve"> greater than </w:t>
            </w:r>
            <w:r w:rsidRPr="007411D5">
              <w:rPr>
                <w:rFonts w:ascii="Times New Roman" w:hAnsi="Times New Roman" w:cs="Times New Roman"/>
                <w:sz w:val="26"/>
                <w:szCs w:val="26"/>
              </w:rPr>
              <w:t>(&gt;)</w:t>
            </w:r>
            <w:r w:rsidRPr="007411D5">
              <w:rPr>
                <w:rFonts w:ascii="AbcPrint" w:hAnsi="AbcPrint"/>
                <w:position w:val="-24"/>
                <w:sz w:val="26"/>
                <w:szCs w:val="26"/>
              </w:rPr>
              <w:object w:dxaOrig="240" w:dyaOrig="620">
                <v:shape id="_x0000_i1028" type="#_x0000_t75" style="width:12pt;height:31pt" o:ole="" fillcolor="window">
                  <v:imagedata r:id="rId17" o:title=""/>
                </v:shape>
                <o:OLEObject Type="Embed" ProgID="Equation.3" ShapeID="_x0000_i1028" DrawAspect="Content" ObjectID="_1519202262" r:id="rId20"/>
              </w:object>
            </w:r>
            <w:r w:rsidRPr="007411D5">
              <w:rPr>
                <w:rFonts w:ascii="AbcPrint" w:hAnsi="AbcPrint"/>
                <w:sz w:val="26"/>
                <w:szCs w:val="26"/>
              </w:rPr>
              <w:t>.</w:t>
            </w:r>
          </w:p>
        </w:tc>
      </w:tr>
      <w:tr w:rsidR="007411D5" w:rsidRPr="007411D5" w:rsidTr="007411D5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D5" w:rsidRPr="007411D5" w:rsidRDefault="007411D5" w:rsidP="007411D5">
            <w:pPr>
              <w:spacing w:before="120"/>
              <w:rPr>
                <w:rFonts w:ascii="AbcPrint" w:hAnsi="AbcPrint"/>
                <w:sz w:val="26"/>
                <w:szCs w:val="26"/>
              </w:rPr>
            </w:pPr>
            <w:r w:rsidRPr="007411D5">
              <w:rPr>
                <w:rFonts w:ascii="AbcPrint" w:hAnsi="AbcPrint"/>
                <w:sz w:val="26"/>
                <w:szCs w:val="26"/>
              </w:rPr>
              <w:t>Compare fractions to benchmarks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D5" w:rsidRPr="007411D5" w:rsidRDefault="007411D5" w:rsidP="007411D5">
            <w:pPr>
              <w:rPr>
                <w:rFonts w:ascii="AbcPrint" w:hAnsi="AbcPrint"/>
                <w:sz w:val="26"/>
                <w:szCs w:val="26"/>
              </w:rPr>
            </w:pPr>
            <w:r w:rsidRPr="007411D5">
              <w:rPr>
                <w:rFonts w:ascii="AbcPrint" w:hAnsi="AbcPrint"/>
                <w:sz w:val="26"/>
                <w:szCs w:val="26"/>
              </w:rPr>
              <w:t xml:space="preserve">Compare fractions to 0, </w:t>
            </w:r>
            <w:r w:rsidRPr="007411D5">
              <w:rPr>
                <w:rFonts w:ascii="Cambria" w:hAnsi="Cambria" w:cs="Cambria"/>
                <w:sz w:val="26"/>
                <w:szCs w:val="26"/>
              </w:rPr>
              <w:t>½</w:t>
            </w:r>
            <w:r w:rsidRPr="007411D5">
              <w:rPr>
                <w:rFonts w:ascii="AbcPrint" w:hAnsi="AbcPrint"/>
                <w:sz w:val="26"/>
                <w:szCs w:val="26"/>
              </w:rPr>
              <w:t>, and 1.</w:t>
            </w:r>
          </w:p>
          <w:p w:rsidR="007411D5" w:rsidRPr="007411D5" w:rsidRDefault="007411D5" w:rsidP="007411D5">
            <w:pPr>
              <w:numPr>
                <w:ilvl w:val="0"/>
                <w:numId w:val="7"/>
              </w:numPr>
              <w:spacing w:line="240" w:lineRule="auto"/>
              <w:rPr>
                <w:rFonts w:ascii="AbcPrint" w:hAnsi="AbcPrint"/>
                <w:sz w:val="26"/>
                <w:szCs w:val="26"/>
              </w:rPr>
            </w:pPr>
            <w:r w:rsidRPr="007411D5">
              <w:rPr>
                <w:rFonts w:ascii="AbcPrint" w:hAnsi="AbcPrint"/>
                <w:sz w:val="26"/>
                <w:szCs w:val="26"/>
              </w:rPr>
              <w:t xml:space="preserve">If one of the fractions is less than </w:t>
            </w:r>
            <w:r w:rsidRPr="007411D5">
              <w:rPr>
                <w:rFonts w:ascii="Cambria" w:hAnsi="Cambria" w:cs="Cambria"/>
                <w:sz w:val="26"/>
                <w:szCs w:val="26"/>
              </w:rPr>
              <w:t>½</w:t>
            </w:r>
            <w:r w:rsidRPr="007411D5">
              <w:rPr>
                <w:rFonts w:ascii="AbcPrint" w:hAnsi="AbcPrint"/>
                <w:sz w:val="26"/>
                <w:szCs w:val="26"/>
              </w:rPr>
              <w:t xml:space="preserve">, and one of the fractions is greater than </w:t>
            </w:r>
            <w:r w:rsidRPr="007411D5">
              <w:rPr>
                <w:rFonts w:ascii="Cambria" w:hAnsi="Cambria" w:cs="Cambria"/>
                <w:sz w:val="26"/>
                <w:szCs w:val="26"/>
              </w:rPr>
              <w:t>½</w:t>
            </w:r>
            <w:r w:rsidRPr="007411D5">
              <w:rPr>
                <w:rFonts w:ascii="AbcPrint" w:hAnsi="AbcPrint"/>
                <w:sz w:val="26"/>
                <w:szCs w:val="26"/>
              </w:rPr>
              <w:t>, then you are done.</w:t>
            </w:r>
          </w:p>
          <w:p w:rsidR="007411D5" w:rsidRPr="007411D5" w:rsidRDefault="007411D5" w:rsidP="007411D5">
            <w:pPr>
              <w:rPr>
                <w:rFonts w:ascii="AbcPrint" w:hAnsi="AbcPrint"/>
                <w:sz w:val="26"/>
                <w:szCs w:val="26"/>
              </w:rPr>
            </w:pPr>
          </w:p>
        </w:tc>
      </w:tr>
    </w:tbl>
    <w:p w:rsidR="009A18EB" w:rsidRPr="007411D5" w:rsidRDefault="009A18EB">
      <w:pPr>
        <w:rPr>
          <w:rFonts w:ascii="AbcPrint" w:hAnsi="AbcPrint"/>
        </w:rPr>
      </w:pPr>
    </w:p>
    <w:p w:rsidR="009A18EB" w:rsidRPr="007411D5" w:rsidRDefault="009A18EB">
      <w:pPr>
        <w:rPr>
          <w:rFonts w:ascii="AbcPrint" w:hAnsi="AbcPrint"/>
        </w:rPr>
      </w:pPr>
    </w:p>
    <w:sectPr w:rsidR="009A18EB" w:rsidRPr="007411D5" w:rsidSect="00730CA3">
      <w:headerReference w:type="first" r:id="rId21"/>
      <w:pgSz w:w="12240" w:h="15840"/>
      <w:pgMar w:top="864" w:right="864" w:bottom="864" w:left="86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0C" w:rsidRDefault="00876C0C" w:rsidP="00730CA3">
      <w:pPr>
        <w:spacing w:line="240" w:lineRule="auto"/>
      </w:pPr>
      <w:r>
        <w:separator/>
      </w:r>
    </w:p>
  </w:endnote>
  <w:endnote w:type="continuationSeparator" w:id="0">
    <w:p w:rsidR="00876C0C" w:rsidRDefault="00876C0C" w:rsidP="00730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0C" w:rsidRDefault="00876C0C" w:rsidP="00730CA3">
      <w:pPr>
        <w:spacing w:line="240" w:lineRule="auto"/>
      </w:pPr>
      <w:r>
        <w:separator/>
      </w:r>
    </w:p>
  </w:footnote>
  <w:footnote w:type="continuationSeparator" w:id="0">
    <w:p w:rsidR="00876C0C" w:rsidRDefault="00876C0C" w:rsidP="00730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D5" w:rsidRPr="00730CA3" w:rsidRDefault="00730CA3" w:rsidP="00730CA3">
    <w:pPr>
      <w:jc w:val="center"/>
      <w:rPr>
        <w:rFonts w:ascii="AbcPrint" w:hAnsi="AbcPrint"/>
      </w:rPr>
    </w:pPr>
    <w:r w:rsidRPr="007411D5">
      <w:rPr>
        <w:rFonts w:ascii="AbcPrint" w:hAnsi="AbcPrint"/>
      </w:rPr>
      <w:t>Fractions — Vocabulary and Concepts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77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39151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182954"/>
    <w:multiLevelType w:val="hybridMultilevel"/>
    <w:tmpl w:val="72C4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135CF"/>
    <w:multiLevelType w:val="hybridMultilevel"/>
    <w:tmpl w:val="2A6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AF6"/>
    <w:multiLevelType w:val="hybridMultilevel"/>
    <w:tmpl w:val="0304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A080E"/>
    <w:multiLevelType w:val="hybridMultilevel"/>
    <w:tmpl w:val="4898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D060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58501D"/>
    <w:multiLevelType w:val="hybridMultilevel"/>
    <w:tmpl w:val="42B4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EB"/>
    <w:rsid w:val="00165173"/>
    <w:rsid w:val="00730CA3"/>
    <w:rsid w:val="007411D5"/>
    <w:rsid w:val="0075427D"/>
    <w:rsid w:val="00831BB5"/>
    <w:rsid w:val="00834368"/>
    <w:rsid w:val="00876C0C"/>
    <w:rsid w:val="009A18EB"/>
    <w:rsid w:val="009A4DB7"/>
    <w:rsid w:val="00A77DA8"/>
    <w:rsid w:val="00BA341F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53BC04-A68C-4AB7-A6CE-3F7456FD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EB"/>
    <w:pPr>
      <w:ind w:left="720"/>
      <w:contextualSpacing/>
    </w:pPr>
  </w:style>
  <w:style w:type="table" w:styleId="TableGrid">
    <w:name w:val="Table Grid"/>
    <w:basedOn w:val="TableNormal"/>
    <w:uiPriority w:val="59"/>
    <w:rsid w:val="00165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1BB5"/>
    <w:rPr>
      <w:color w:val="808080"/>
    </w:rPr>
  </w:style>
  <w:style w:type="paragraph" w:styleId="Header">
    <w:name w:val="header"/>
    <w:basedOn w:val="Normal"/>
    <w:link w:val="HeaderChar"/>
    <w:rsid w:val="007411D5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411D5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1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D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0C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5FDF-7040-424C-8290-DB404735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LaPorte, Shannan Ford</dc:creator>
  <cp:lastModifiedBy>PEMBER, ELIZABETH L</cp:lastModifiedBy>
  <cp:revision>2</cp:revision>
  <cp:lastPrinted>2016-03-11T13:21:00Z</cp:lastPrinted>
  <dcterms:created xsi:type="dcterms:W3CDTF">2016-03-11T16:51:00Z</dcterms:created>
  <dcterms:modified xsi:type="dcterms:W3CDTF">2016-03-11T16:51:00Z</dcterms:modified>
</cp:coreProperties>
</file>